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1856" w14:textId="77777777" w:rsidR="00C64276" w:rsidRPr="00C64276" w:rsidRDefault="00C1400B" w:rsidP="00345849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3C114E0B" w14:textId="77777777" w:rsidR="00C45BB4" w:rsidRDefault="00C45BB4" w:rsidP="00345849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7EEBDBAD" w14:textId="77777777" w:rsidR="00EC5BB9" w:rsidRPr="008A4F6F" w:rsidRDefault="00C64276" w:rsidP="00345849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577A54" w14:textId="77777777"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5CA89B57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B35E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0898" w14:textId="457201E4" w:rsidR="00335F71" w:rsidRPr="004344C8" w:rsidRDefault="00B538D6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38D6">
              <w:rPr>
                <w:rFonts w:ascii="Arial" w:hAnsi="Arial" w:cs="Arial"/>
                <w:b/>
                <w:szCs w:val="22"/>
              </w:rPr>
              <w:t>II/347 Čejov - průtah</w:t>
            </w:r>
          </w:p>
        </w:tc>
      </w:tr>
      <w:tr w:rsidR="00335F71" w:rsidRPr="00A625BD" w14:paraId="20A5125F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3691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9F9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036C08D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82FA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A110" w14:textId="77777777" w:rsidR="00335F71" w:rsidRPr="00853E33" w:rsidRDefault="00335F71" w:rsidP="0067017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37C6AD7B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9D9D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94E" w14:textId="27F1549A" w:rsidR="00335F71" w:rsidRPr="00853E33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B538D6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52FFE6AE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232B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2082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22623B5" w14:textId="77777777" w:rsidTr="001115E2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77AE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1936" w14:textId="77777777" w:rsidR="006F6AAF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3C692600" w14:textId="77777777" w:rsidR="00CD4757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28E3B1BB" w14:textId="77777777" w:rsidR="00CD4757" w:rsidRPr="00853E33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335F71" w:rsidRPr="00A625BD" w14:paraId="673CBAB2" w14:textId="77777777" w:rsidTr="001115E2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940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617B" w14:textId="77777777" w:rsidR="00B538D6" w:rsidRPr="00853E33" w:rsidRDefault="00B538D6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  <w:p w14:paraId="1406E2F0" w14:textId="72D36680" w:rsidR="00335F71" w:rsidRPr="00853E33" w:rsidRDefault="00B538D6" w:rsidP="00B538D6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564 602 387; e-mail: navratilova.marketa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14:paraId="2D7A37F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30A2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74E5" w14:textId="432165AB" w:rsidR="00D67C7B" w:rsidRPr="001115E2" w:rsidRDefault="00B538D6" w:rsidP="0001195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 Čejov</w:t>
            </w:r>
          </w:p>
        </w:tc>
      </w:tr>
      <w:tr w:rsidR="00D67C7B" w:rsidRPr="00A625BD" w14:paraId="5316884E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5F69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1BD5" w14:textId="4FE79E08" w:rsidR="00D67C7B" w:rsidRPr="001A5952" w:rsidRDefault="00B538D6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DA35D7">
              <w:rPr>
                <w:rFonts w:ascii="Arial" w:hAnsi="Arial" w:cs="Arial"/>
                <w:color w:val="000000"/>
                <w:szCs w:val="22"/>
              </w:rPr>
              <w:t>00248002</w:t>
            </w:r>
          </w:p>
        </w:tc>
      </w:tr>
      <w:tr w:rsidR="00D67C7B" w:rsidRPr="00A625BD" w14:paraId="572C107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EE95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803A" w14:textId="687B4DC3" w:rsidR="00D67C7B" w:rsidRPr="001A5952" w:rsidRDefault="00B538D6" w:rsidP="00011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2"/>
              </w:rPr>
              <w:t>Čejov 191</w:t>
            </w:r>
            <w:r w:rsidRPr="003A4AA9">
              <w:rPr>
                <w:rFonts w:ascii="Arial" w:hAnsi="Arial" w:cs="Arial"/>
                <w:szCs w:val="22"/>
              </w:rPr>
              <w:t xml:space="preserve">, 396 01 </w:t>
            </w:r>
            <w:r>
              <w:rPr>
                <w:rFonts w:ascii="Arial" w:hAnsi="Arial" w:cs="Arial"/>
                <w:szCs w:val="22"/>
              </w:rPr>
              <w:t>Humpolec</w:t>
            </w:r>
          </w:p>
        </w:tc>
      </w:tr>
      <w:tr w:rsidR="00D67C7B" w:rsidRPr="00A625BD" w14:paraId="3EF0130C" w14:textId="77777777" w:rsidTr="001115E2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4D2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9E98" w14:textId="574B77F5" w:rsidR="00D67C7B" w:rsidRPr="00D67C7B" w:rsidRDefault="00B538D6" w:rsidP="001A59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Josef Svoboda, starosta</w:t>
            </w:r>
          </w:p>
        </w:tc>
      </w:tr>
    </w:tbl>
    <w:p w14:paraId="667008DB" w14:textId="6BE54F70" w:rsidR="00335F71" w:rsidRDefault="002D709E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Na základě smlouvy o společn</w:t>
      </w:r>
      <w:r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ém postupu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zadavatelů se výše uvedení zadavatelé dohodli, že na financování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„</w:t>
      </w:r>
      <w:r w:rsidRPr="00960F75">
        <w:rPr>
          <w:rFonts w:ascii="Arial" w:hAnsi="Arial" w:cs="Arial"/>
          <w:b w:val="0"/>
          <w:i/>
          <w:sz w:val="20"/>
          <w:szCs w:val="20"/>
        </w:rPr>
        <w:t>II/347 Čejov - průtah</w:t>
      </w:r>
      <w:r w:rsidRPr="00A625BD">
        <w:rPr>
          <w:rFonts w:ascii="Arial" w:hAnsi="Arial" w:cs="Arial"/>
          <w:b w:val="0"/>
          <w:i/>
          <w:sz w:val="20"/>
          <w:szCs w:val="20"/>
        </w:rPr>
        <w:t>“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se budou podílet v rozsahu prací vymezených </w:t>
      </w:r>
      <w:r w:rsidRPr="00E84051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projektovou 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dokumentací, resp. výkazy výměr vypracovanými pro tyto účely pro jednotlivé investory, kterými budou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2 dle samostatné smlouvy o dílo</w:t>
      </w:r>
      <w:r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>
        <w:rPr>
          <w:rFonts w:ascii="Arial" w:hAnsi="Arial" w:cs="Arial"/>
          <w:b w:val="0"/>
          <w:bCs w:val="0"/>
          <w:i/>
          <w:sz w:val="20"/>
          <w:szCs w:val="20"/>
        </w:rPr>
        <w:t>dodavatelem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14:paraId="7310AB12" w14:textId="77777777" w:rsidR="008A13F2" w:rsidRPr="008A13F2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14:paraId="617FD8DC" w14:textId="77777777"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00AF4B90" w14:textId="33120072"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2D709E" w:rsidRPr="002D709E">
        <w:rPr>
          <w:rFonts w:ascii="Arial" w:hAnsi="Arial" w:cs="Arial"/>
          <w:sz w:val="22"/>
          <w:szCs w:val="22"/>
        </w:rPr>
        <w:t>II/347 Čejov - průtah</w:t>
      </w:r>
      <w:r>
        <w:rPr>
          <w:rFonts w:ascii="Arial" w:hAnsi="Arial" w:cs="Arial"/>
          <w:sz w:val="22"/>
          <w:szCs w:val="22"/>
        </w:rPr>
        <w:t>, v rozsahu stanoveném touto zadávací dokumentací.</w:t>
      </w:r>
    </w:p>
    <w:p w14:paraId="5FF28C68" w14:textId="77777777"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015B5A" w14:textId="77777777"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4998A056" w14:textId="268874A8" w:rsidR="002D709E" w:rsidRPr="00424829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 w:rsidR="009739D5">
        <w:rPr>
          <w:rFonts w:ascii="Arial" w:hAnsi="Arial" w:cs="Arial"/>
          <w:sz w:val="22"/>
          <w:szCs w:val="22"/>
        </w:rPr>
        <w:t>ro zadavatele č. 1 budou provedeny stavební práce</w:t>
      </w:r>
      <w:r w:rsidRPr="00424829">
        <w:rPr>
          <w:rFonts w:ascii="Arial" w:hAnsi="Arial" w:cs="Arial"/>
          <w:sz w:val="22"/>
          <w:szCs w:val="22"/>
        </w:rPr>
        <w:t xml:space="preserve"> spočívající zejména v provedení rekonstrukce silnice II/347 v </w:t>
      </w:r>
      <w:proofErr w:type="spellStart"/>
      <w:r w:rsidRPr="00424829">
        <w:rPr>
          <w:rFonts w:ascii="Arial" w:hAnsi="Arial" w:cs="Arial"/>
          <w:sz w:val="22"/>
          <w:szCs w:val="22"/>
        </w:rPr>
        <w:t>intravilánu</w:t>
      </w:r>
      <w:proofErr w:type="spellEnd"/>
      <w:r w:rsidRPr="00424829">
        <w:rPr>
          <w:rFonts w:ascii="Arial" w:hAnsi="Arial" w:cs="Arial"/>
          <w:sz w:val="22"/>
          <w:szCs w:val="22"/>
        </w:rPr>
        <w:t xml:space="preserve"> obce Čejov v délce cca 840</w:t>
      </w:r>
      <w:r>
        <w:rPr>
          <w:rFonts w:ascii="Arial" w:hAnsi="Arial" w:cs="Arial"/>
          <w:sz w:val="22"/>
          <w:szCs w:val="22"/>
        </w:rPr>
        <w:t>,00</w:t>
      </w:r>
      <w:r w:rsidRPr="00424829">
        <w:rPr>
          <w:rFonts w:ascii="Arial" w:hAnsi="Arial" w:cs="Arial"/>
          <w:sz w:val="22"/>
          <w:szCs w:val="22"/>
        </w:rPr>
        <w:t xml:space="preserve"> m. Silnice je navržena v kategorii MO2 7,0/7,0/50, místně MO2 6,5/6,5/50 ve stísněných podmínkách. Je navrženo provedení recyklace podkladních vrstev vozovky za studena s následnou pokládkou dvou asfaltobetonových vrstev.</w:t>
      </w:r>
    </w:p>
    <w:p w14:paraId="7F4BE386" w14:textId="77777777" w:rsidR="002D709E" w:rsidRPr="00424829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Součástí je rovněž rekonstrukce propustku, spočívající v provedení nové železobetonové římsy s osazením zábradlí.</w:t>
      </w:r>
    </w:p>
    <w:p w14:paraId="1D64752E" w14:textId="77777777" w:rsidR="002D709E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1F035F6" w14:textId="65DBA546" w:rsidR="002D709E" w:rsidRDefault="009739D5" w:rsidP="002D709E">
      <w:pPr>
        <w:pStyle w:val="Zkladntextodsazen3"/>
        <w:ind w:left="0" w:firstLine="0"/>
        <w:rPr>
          <w:szCs w:val="22"/>
        </w:rPr>
      </w:pPr>
      <w:r>
        <w:rPr>
          <w:spacing w:val="-6"/>
          <w:szCs w:val="22"/>
        </w:rPr>
        <w:t>Stavba bude realizována</w:t>
      </w:r>
      <w:r w:rsidR="002D709E" w:rsidRPr="00985B00">
        <w:rPr>
          <w:spacing w:val="-6"/>
          <w:szCs w:val="22"/>
        </w:rPr>
        <w:t xml:space="preserve"> </w:t>
      </w:r>
      <w:r w:rsidR="002D709E" w:rsidRPr="00081FED">
        <w:rPr>
          <w:szCs w:val="22"/>
        </w:rPr>
        <w:t xml:space="preserve">dle projektové dokumentace „II/347 Čejov – průtah“, vypracované v prosinci 2018 ve stupni projektové dokumentace pro provádění stavby (dále jen „PDPS“) </w:t>
      </w:r>
      <w:r w:rsidR="002D709E">
        <w:rPr>
          <w:szCs w:val="22"/>
        </w:rPr>
        <w:t>společností</w:t>
      </w:r>
      <w:r w:rsidR="002D709E" w:rsidRPr="00081FED">
        <w:rPr>
          <w:szCs w:val="22"/>
        </w:rPr>
        <w:t xml:space="preserve"> HBH Projekt spol. s r.o., Kabátníkova 216/5, 602 00 Brno</w:t>
      </w:r>
      <w:r w:rsidR="002D709E">
        <w:rPr>
          <w:szCs w:val="22"/>
        </w:rPr>
        <w:t xml:space="preserve">, IČO </w:t>
      </w:r>
      <w:r w:rsidR="002D709E" w:rsidRPr="00435931">
        <w:rPr>
          <w:szCs w:val="22"/>
        </w:rPr>
        <w:t>44961944</w:t>
      </w:r>
      <w:r w:rsidR="002D709E">
        <w:rPr>
          <w:szCs w:val="22"/>
        </w:rPr>
        <w:t xml:space="preserve"> </w:t>
      </w:r>
      <w:r w:rsidR="002D709E" w:rsidRPr="00081FED">
        <w:rPr>
          <w:szCs w:val="22"/>
        </w:rPr>
        <w:t>v členění stavebních objektů</w:t>
      </w:r>
      <w:r w:rsidR="002D709E">
        <w:rPr>
          <w:szCs w:val="22"/>
        </w:rPr>
        <w:t xml:space="preserve"> </w:t>
      </w:r>
      <w:r w:rsidR="002D709E" w:rsidRPr="00B50AB2">
        <w:rPr>
          <w:spacing w:val="-4"/>
          <w:szCs w:val="22"/>
        </w:rPr>
        <w:t>(dle soupisu</w:t>
      </w:r>
      <w:r w:rsidR="002D709E">
        <w:rPr>
          <w:szCs w:val="22"/>
        </w:rPr>
        <w:t xml:space="preserve"> prací)</w:t>
      </w:r>
      <w:r w:rsidR="002D709E" w:rsidRPr="00985B00">
        <w:rPr>
          <w:spacing w:val="-4"/>
          <w:szCs w:val="22"/>
        </w:rPr>
        <w:t>, jejichž investorem</w:t>
      </w:r>
      <w:r w:rsidR="002D709E" w:rsidRPr="00B50AB2">
        <w:rPr>
          <w:spacing w:val="-4"/>
          <w:szCs w:val="22"/>
        </w:rPr>
        <w:t xml:space="preserve"> je zadavatel č. 1, tj. Kraj Vysočina</w:t>
      </w:r>
      <w:r w:rsidR="002D709E" w:rsidRPr="00AF33E0">
        <w:rPr>
          <w:szCs w:val="22"/>
        </w:rPr>
        <w:t>:</w:t>
      </w:r>
    </w:p>
    <w:p w14:paraId="6752E672" w14:textId="77777777" w:rsidR="002D709E" w:rsidRDefault="002D709E" w:rsidP="002D709E">
      <w:pPr>
        <w:pStyle w:val="Zkladntextodsazen3"/>
        <w:ind w:left="0" w:firstLine="0"/>
        <w:rPr>
          <w:szCs w:val="22"/>
        </w:rPr>
      </w:pPr>
    </w:p>
    <w:p w14:paraId="725F9993" w14:textId="77777777" w:rsidR="002D709E" w:rsidRDefault="002D709E" w:rsidP="009739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001 Vedlejší a ostatní náklady (Investor Kraj)</w:t>
      </w:r>
    </w:p>
    <w:p w14:paraId="58938766" w14:textId="77777777" w:rsidR="002D709E" w:rsidRPr="00081FED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 xml:space="preserve">SO 101 Silnice II/347 Čejov - průtah </w:t>
      </w:r>
    </w:p>
    <w:p w14:paraId="2EBE3C95" w14:textId="77777777" w:rsidR="002D709E" w:rsidRPr="00081FED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 xml:space="preserve">SO 101.1 Rekonstrukce římsy na propustku </w:t>
      </w:r>
    </w:p>
    <w:p w14:paraId="5326E284" w14:textId="77777777" w:rsidR="002D709E" w:rsidRPr="00081FED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171 Dopravní značení trvalé</w:t>
      </w:r>
    </w:p>
    <w:p w14:paraId="15CCB93F" w14:textId="77777777" w:rsidR="002D709E" w:rsidRPr="00081FED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172 Dopravní značení přechodné</w:t>
      </w:r>
    </w:p>
    <w:p w14:paraId="69EB70D0" w14:textId="77777777" w:rsidR="002D709E" w:rsidRDefault="002D709E" w:rsidP="002D709E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14:paraId="2301CC05" w14:textId="0853CDFB" w:rsidR="009065A8" w:rsidRPr="00AF56D2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</w:t>
      </w:r>
      <w:r>
        <w:rPr>
          <w:rFonts w:ascii="Arial" w:hAnsi="Arial" w:cs="Arial"/>
          <w:spacing w:val="6"/>
          <w:sz w:val="22"/>
          <w:szCs w:val="22"/>
        </w:rPr>
        <w:t xml:space="preserve">provozu na silnici II/347. Stavba bude realizována postupně po jednotlivých úsecích. </w:t>
      </w:r>
      <w:r>
        <w:rPr>
          <w:rFonts w:ascii="Arial" w:hAnsi="Arial" w:cs="Arial"/>
          <w:spacing w:val="-6"/>
          <w:sz w:val="22"/>
          <w:szCs w:val="22"/>
        </w:rPr>
        <w:t>Vybraný dodavatel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obvyklým,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16FCB31C" w14:textId="77777777" w:rsidR="00EF08EF" w:rsidRDefault="00EF08EF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700419" w14:textId="77777777" w:rsidR="009065A8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pro </w:t>
      </w:r>
      <w:r>
        <w:rPr>
          <w:rFonts w:ascii="Arial" w:hAnsi="Arial" w:cs="Arial"/>
          <w:b/>
          <w:sz w:val="22"/>
          <w:szCs w:val="22"/>
        </w:rPr>
        <w:t>zadavatele č. 2:</w:t>
      </w:r>
    </w:p>
    <w:p w14:paraId="145BFC12" w14:textId="18B86C57" w:rsidR="009739D5" w:rsidRPr="007E1A54" w:rsidRDefault="009739D5" w:rsidP="009739D5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 zadavatele č. 2 budou provedeny stavební práce</w:t>
      </w:r>
      <w:r w:rsidRPr="007E1A54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spočívající v</w:t>
      </w:r>
      <w:r w:rsidRPr="007E1A54">
        <w:rPr>
          <w:rFonts w:ascii="Arial" w:hAnsi="Arial" w:cs="Arial"/>
          <w:spacing w:val="-4"/>
          <w:sz w:val="22"/>
          <w:szCs w:val="22"/>
        </w:rPr>
        <w:t xml:space="preserve"> napojení místních komunikací na silnici II/347. Předmětem stavebních prací je rovněž provedení stavebních úprav resp. dobudování chodníků podél stávající silnice II/347. Dále bude provedeno veřejné osvětlení pro osvětlení dvou přechodů pro chodce vč. úseku v délce 100 m před a za přechodem.</w:t>
      </w:r>
    </w:p>
    <w:p w14:paraId="27E1EBB9" w14:textId="77777777" w:rsidR="009739D5" w:rsidRDefault="009739D5" w:rsidP="009739D5">
      <w:pPr>
        <w:jc w:val="both"/>
        <w:rPr>
          <w:rFonts w:ascii="Arial" w:hAnsi="Arial" w:cs="Arial"/>
          <w:sz w:val="22"/>
          <w:szCs w:val="22"/>
        </w:rPr>
      </w:pPr>
    </w:p>
    <w:p w14:paraId="211CDFFE" w14:textId="3F8FAC5B" w:rsidR="009739D5" w:rsidRDefault="009739D5" w:rsidP="009739D5">
      <w:pPr>
        <w:pStyle w:val="Zkladntextodsazen3"/>
        <w:ind w:left="0" w:firstLine="0"/>
        <w:rPr>
          <w:szCs w:val="22"/>
        </w:rPr>
      </w:pPr>
      <w:r>
        <w:rPr>
          <w:spacing w:val="-6"/>
          <w:szCs w:val="22"/>
        </w:rPr>
        <w:t>Stavba bude realizována</w:t>
      </w:r>
      <w:r w:rsidRPr="00985B00">
        <w:rPr>
          <w:spacing w:val="-6"/>
          <w:szCs w:val="22"/>
        </w:rPr>
        <w:t xml:space="preserve"> </w:t>
      </w:r>
      <w:r w:rsidRPr="00081FED">
        <w:rPr>
          <w:szCs w:val="22"/>
        </w:rPr>
        <w:t xml:space="preserve">dle projektové dokumentace „II/347 Čejov – průtah“, vypracované v prosinci 2018 ve stupni projektové dokumentace pro provádění stavby (dále jen „PDPS“) </w:t>
      </w:r>
      <w:r>
        <w:rPr>
          <w:szCs w:val="22"/>
        </w:rPr>
        <w:t>společností</w:t>
      </w:r>
      <w:r w:rsidRPr="00081FED">
        <w:rPr>
          <w:szCs w:val="22"/>
        </w:rPr>
        <w:t xml:space="preserve"> HBH Projekt spol. s r.o., Kabátníkova 216/5, 602 00 Brno</w:t>
      </w:r>
      <w:r>
        <w:rPr>
          <w:szCs w:val="22"/>
        </w:rPr>
        <w:t xml:space="preserve">, IČO </w:t>
      </w:r>
      <w:r w:rsidRPr="00435931">
        <w:rPr>
          <w:szCs w:val="22"/>
        </w:rPr>
        <w:t>44961944</w:t>
      </w:r>
      <w:r>
        <w:rPr>
          <w:szCs w:val="22"/>
        </w:rPr>
        <w:t xml:space="preserve"> </w:t>
      </w:r>
      <w:r w:rsidRPr="00081FED">
        <w:rPr>
          <w:szCs w:val="22"/>
        </w:rPr>
        <w:t>v členění stavebních objektů</w:t>
      </w:r>
      <w:r>
        <w:rPr>
          <w:szCs w:val="22"/>
        </w:rPr>
        <w:t xml:space="preserve"> </w:t>
      </w:r>
      <w:r w:rsidRPr="00B50AB2">
        <w:rPr>
          <w:spacing w:val="-4"/>
          <w:szCs w:val="22"/>
        </w:rPr>
        <w:t>(dle soupisu</w:t>
      </w:r>
      <w:r>
        <w:rPr>
          <w:szCs w:val="22"/>
        </w:rPr>
        <w:t xml:space="preserve"> prací)</w:t>
      </w:r>
      <w:r w:rsidRPr="00985B00">
        <w:rPr>
          <w:spacing w:val="-4"/>
          <w:szCs w:val="22"/>
        </w:rPr>
        <w:t>, jejichž investorem</w:t>
      </w:r>
      <w:r w:rsidRPr="00B50AB2">
        <w:rPr>
          <w:spacing w:val="-4"/>
          <w:szCs w:val="22"/>
        </w:rPr>
        <w:t xml:space="preserve"> je zadavatel č. </w:t>
      </w:r>
      <w:r>
        <w:rPr>
          <w:spacing w:val="-4"/>
          <w:szCs w:val="22"/>
        </w:rPr>
        <w:t>2, tj. obec Čejov:</w:t>
      </w:r>
    </w:p>
    <w:p w14:paraId="6BC9C732" w14:textId="77777777" w:rsidR="009739D5" w:rsidRDefault="009739D5" w:rsidP="009739D5">
      <w:pPr>
        <w:pStyle w:val="Zkladntextodsazen3"/>
        <w:ind w:left="0" w:firstLine="0"/>
        <w:rPr>
          <w:szCs w:val="22"/>
        </w:rPr>
      </w:pPr>
    </w:p>
    <w:p w14:paraId="36EBC4A6" w14:textId="77777777" w:rsidR="009739D5" w:rsidRPr="00081FED" w:rsidRDefault="009739D5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002 Vedlejší a ostatní náklady (Investor obec)</w:t>
      </w:r>
    </w:p>
    <w:p w14:paraId="0DE3D4F9" w14:textId="77777777" w:rsidR="009739D5" w:rsidRPr="00081FED" w:rsidRDefault="009739D5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103 Úprava napojení místní komunikace v km 0,210 v Čejově</w:t>
      </w:r>
    </w:p>
    <w:p w14:paraId="786DFE90" w14:textId="77777777" w:rsidR="009739D5" w:rsidRPr="00081FED" w:rsidRDefault="009739D5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104 Úprava napojení místní komunikace v km 0,322 v Čejově</w:t>
      </w:r>
    </w:p>
    <w:p w14:paraId="2ECBDDAA" w14:textId="77777777" w:rsidR="009739D5" w:rsidRPr="00081FED" w:rsidRDefault="009739D5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 xml:space="preserve">SO 151 Chodník pro obec Čejov  </w:t>
      </w:r>
    </w:p>
    <w:p w14:paraId="5467FDA2" w14:textId="5E038644" w:rsidR="00BE73BC" w:rsidRDefault="009739D5" w:rsidP="009739D5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431 Veřejné osvětlení pro obec Čejov</w:t>
      </w:r>
    </w:p>
    <w:p w14:paraId="347A00A0" w14:textId="77777777" w:rsidR="00170C74" w:rsidRDefault="00170C74" w:rsidP="00190E92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BC9B795" w14:textId="77777777" w:rsidR="00986757" w:rsidRDefault="00986757" w:rsidP="00190E92">
      <w:pPr>
        <w:pStyle w:val="Zkladntextodsazen3"/>
        <w:ind w:left="0" w:firstLine="0"/>
        <w:rPr>
          <w:szCs w:val="22"/>
        </w:rPr>
      </w:pPr>
    </w:p>
    <w:p w14:paraId="7DF96813" w14:textId="77777777" w:rsidR="008A13F2" w:rsidRDefault="008A13F2" w:rsidP="00190E92">
      <w:pPr>
        <w:pStyle w:val="Zkladntextodsazen3"/>
        <w:ind w:left="0" w:firstLine="0"/>
        <w:rPr>
          <w:szCs w:val="22"/>
        </w:rPr>
      </w:pPr>
    </w:p>
    <w:p w14:paraId="641AA72C" w14:textId="77777777"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6D8C3001" w14:textId="77777777"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30F5D9B4" w14:textId="77777777"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62AD975E" w14:textId="77777777"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3894EE34" w14:textId="77777777"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EA0629">
        <w:rPr>
          <w:rFonts w:ascii="Arial" w:hAnsi="Arial" w:cs="Arial"/>
          <w:b/>
          <w:spacing w:val="-4"/>
          <w:sz w:val="22"/>
          <w:szCs w:val="22"/>
          <w:lang w:eastAsia="x-none"/>
        </w:rPr>
        <w:t>(</w:t>
      </w:r>
      <w:r w:rsidR="007D65A8">
        <w:rPr>
          <w:rFonts w:ascii="Arial" w:hAnsi="Arial" w:cs="Arial"/>
          <w:b/>
          <w:spacing w:val="-4"/>
          <w:sz w:val="22"/>
          <w:szCs w:val="22"/>
          <w:lang w:eastAsia="x-none"/>
        </w:rPr>
        <w:t xml:space="preserve">viz </w:t>
      </w:r>
      <w:r w:rsidRPr="00EA0629">
        <w:rPr>
          <w:rFonts w:ascii="Arial" w:hAnsi="Arial" w:cs="Arial"/>
          <w:b/>
          <w:sz w:val="22"/>
          <w:szCs w:val="22"/>
          <w:lang w:eastAsia="x-none"/>
        </w:rPr>
        <w:t>zadávací dokumentace)</w:t>
      </w:r>
      <w:r>
        <w:rPr>
          <w:rFonts w:ascii="Arial" w:hAnsi="Arial" w:cs="Arial"/>
          <w:sz w:val="22"/>
          <w:szCs w:val="22"/>
          <w:lang w:eastAsia="x-none"/>
        </w:rPr>
        <w:t>.</w:t>
      </w:r>
    </w:p>
    <w:p w14:paraId="448320CD" w14:textId="77777777"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14:paraId="758E1F21" w14:textId="77777777"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14:paraId="684D19D7" w14:textId="65907AC9"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nutné přeložky IS)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14:paraId="24E842FF" w14:textId="29678AEB" w:rsidR="00D416E3" w:rsidRPr="008A13F2" w:rsidRDefault="00D416E3" w:rsidP="00D416E3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1B242AC" w14:textId="44EB2C37"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lastRenderedPageBreak/>
        <w:t>Pro pokládku ložné a obrusné asfaltobetonové vrstvy vozovky na všech úsecích požaduje zadavatel č. 1 provedení pokládky bez pracovní spáry s vyloučením veškeré dopravy.</w:t>
      </w:r>
    </w:p>
    <w:p w14:paraId="0EB49981" w14:textId="77777777"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</w:p>
    <w:p w14:paraId="6FC09726" w14:textId="4171953F"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páce a ochranně zdraví na staveništi.</w:t>
      </w:r>
    </w:p>
    <w:p w14:paraId="4A736EA9" w14:textId="77777777" w:rsidR="008A13F2" w:rsidRPr="00C45BB4" w:rsidRDefault="008A13F2" w:rsidP="00D416E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9692BED" w14:textId="77777777" w:rsidR="008124F8" w:rsidRPr="005B62B4" w:rsidRDefault="00D416E3" w:rsidP="005B62B4">
      <w:pPr>
        <w:pStyle w:val="Nadpis1"/>
      </w:pPr>
      <w:r>
        <w:t>Identifikace osob podílejících se na vypracování zadávací dokumentace</w:t>
      </w:r>
    </w:p>
    <w:p w14:paraId="62C6F777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06107E4E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01384CD7" w14:textId="72AF1D00" w:rsidR="00B753A0" w:rsidRPr="00176362" w:rsidRDefault="00B753A0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HBH Projekt spol. s r.o., Kabátníkova 216/5, 602 00 Brno, IČO 44961944 zpracovatel projektové dokumentace „II/347 Čejov – průtah“, vypracované v prosinci 2018 ve stupni PDPS. </w:t>
      </w:r>
    </w:p>
    <w:p w14:paraId="69124242" w14:textId="77777777" w:rsidR="00B753A0" w:rsidRPr="00176362" w:rsidRDefault="00B753A0" w:rsidP="00B753A0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14:paraId="06AFF4B4" w14:textId="66A8CD1E" w:rsidR="00D416E3" w:rsidRDefault="00B753A0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CONSULTEST s.r.o., Veveří 331/95, Veveří, 602 00 Brno, IČO: 25346784 – zpracovatel diagnostického průzkumu</w:t>
      </w:r>
    </w:p>
    <w:p w14:paraId="3FBC1EE0" w14:textId="77777777" w:rsidR="00345849" w:rsidRDefault="00345849" w:rsidP="00345849">
      <w:pPr>
        <w:pStyle w:val="Odstavecseseznamem"/>
        <w:rPr>
          <w:rFonts w:ascii="Arial" w:hAnsi="Arial" w:cs="Arial"/>
          <w:sz w:val="22"/>
          <w:szCs w:val="22"/>
        </w:rPr>
      </w:pPr>
    </w:p>
    <w:p w14:paraId="74D1F2B4" w14:textId="1F123765" w:rsidR="00345849" w:rsidRPr="00176362" w:rsidRDefault="00345849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45849">
        <w:rPr>
          <w:rFonts w:ascii="Arial" w:hAnsi="Arial" w:cs="Arial"/>
          <w:sz w:val="22"/>
          <w:szCs w:val="22"/>
        </w:rPr>
        <w:t>HBH</w:t>
      </w:r>
      <w:r w:rsidRPr="00176362">
        <w:rPr>
          <w:rFonts w:ascii="Arial" w:hAnsi="Arial" w:cs="Arial"/>
          <w:sz w:val="22"/>
          <w:szCs w:val="22"/>
        </w:rPr>
        <w:t xml:space="preserve"> Projekt spol. s r.o., Kabátníkova 216/5, 602 00 Brno, IČO 44961944 zpracovatel</w:t>
      </w:r>
      <w:r w:rsidRPr="00A64FB3">
        <w:rPr>
          <w:rFonts w:ascii="Arial" w:hAnsi="Arial" w:cs="Arial"/>
          <w:sz w:val="22"/>
          <w:szCs w:val="22"/>
        </w:rPr>
        <w:t xml:space="preserve"> projektové dokumentace </w:t>
      </w:r>
      <w:r>
        <w:rPr>
          <w:rFonts w:ascii="Arial" w:hAnsi="Arial" w:cs="Arial"/>
          <w:sz w:val="22"/>
          <w:szCs w:val="22"/>
        </w:rPr>
        <w:t>veřejného osvětlení</w:t>
      </w:r>
    </w:p>
    <w:p w14:paraId="75C848E9" w14:textId="77777777" w:rsidR="001E3FEB" w:rsidRPr="00176362" w:rsidRDefault="001E3FEB" w:rsidP="001E3FEB">
      <w:pPr>
        <w:pStyle w:val="Odstavecseseznamem"/>
        <w:rPr>
          <w:rFonts w:ascii="Arial" w:hAnsi="Arial" w:cs="Arial"/>
          <w:sz w:val="22"/>
          <w:szCs w:val="22"/>
        </w:rPr>
      </w:pPr>
    </w:p>
    <w:p w14:paraId="274B4B0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0E8A0768" w14:textId="196BA10A"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>okres Pelhřimov, obec Čejov</w:t>
      </w:r>
      <w:r w:rsidR="00B753A0">
        <w:rPr>
          <w:rFonts w:ascii="Arial" w:hAnsi="Arial" w:cs="Arial"/>
          <w:sz w:val="22"/>
          <w:szCs w:val="22"/>
        </w:rPr>
        <w:t>.</w:t>
      </w:r>
    </w:p>
    <w:p w14:paraId="510DBE0B" w14:textId="77777777"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4ACA07" w14:textId="77777777"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30355B4D" w14:textId="77777777"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09FC7896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35AABD47" w14:textId="58E24B6E"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>Předpokládaný termín plnění veřejné zakázky je</w:t>
      </w:r>
      <w:r w:rsidR="005B62B4">
        <w:rPr>
          <w:rFonts w:ascii="Arial" w:hAnsi="Arial" w:cs="Arial"/>
          <w:b/>
          <w:sz w:val="22"/>
          <w:szCs w:val="22"/>
        </w:rPr>
        <w:t xml:space="preserve">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722C1BC4" w14:textId="26A8128F"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1</w:t>
      </w:r>
      <w:r w:rsidR="0041447E">
        <w:rPr>
          <w:rFonts w:ascii="Arial" w:hAnsi="Arial" w:cs="Arial"/>
          <w:b w:val="0"/>
          <w:bCs w:val="0"/>
          <w:sz w:val="22"/>
          <w:szCs w:val="22"/>
        </w:rPr>
        <w:t>1</w:t>
      </w:r>
      <w:r w:rsidR="005B62B4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>
        <w:rPr>
          <w:rFonts w:ascii="Arial" w:hAnsi="Arial" w:cs="Arial"/>
          <w:b w:val="0"/>
          <w:bCs w:val="0"/>
          <w:sz w:val="22"/>
          <w:szCs w:val="22"/>
        </w:rPr>
        <w:t>1</w:t>
      </w:r>
    </w:p>
    <w:p w14:paraId="21321947" w14:textId="6F703ECD"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3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2</w:t>
      </w:r>
    </w:p>
    <w:p w14:paraId="1A008200" w14:textId="77777777"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2087FF3C" w14:textId="74372071"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22</w:t>
      </w:r>
    </w:p>
    <w:p w14:paraId="1C577458" w14:textId="77777777" w:rsidR="0040754B" w:rsidRPr="00A6091B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62171BC0" w14:textId="59EE934D"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>
        <w:rPr>
          <w:rFonts w:ascii="Arial" w:hAnsi="Arial" w:cs="Arial"/>
          <w:sz w:val="22"/>
          <w:szCs w:val="22"/>
          <w:lang w:eastAsia="x-none"/>
        </w:rPr>
        <w:tab/>
      </w:r>
      <w:r w:rsidRPr="00A6091B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8B17E0">
        <w:rPr>
          <w:rFonts w:ascii="Arial" w:hAnsi="Arial" w:cs="Arial"/>
          <w:sz w:val="22"/>
          <w:szCs w:val="22"/>
          <w:lang w:eastAsia="x-none"/>
        </w:rPr>
        <w:t>15</w:t>
      </w:r>
      <w:r w:rsidR="00303CFA">
        <w:rPr>
          <w:rFonts w:ascii="Arial" w:hAnsi="Arial" w:cs="Arial"/>
          <w:sz w:val="22"/>
          <w:szCs w:val="22"/>
          <w:lang w:eastAsia="x-none"/>
        </w:rPr>
        <w:t>. 01</w:t>
      </w:r>
      <w:r w:rsidR="003C3659">
        <w:rPr>
          <w:rFonts w:ascii="Arial" w:hAnsi="Arial" w:cs="Arial"/>
          <w:sz w:val="22"/>
          <w:szCs w:val="22"/>
          <w:lang w:eastAsia="x-none"/>
        </w:rPr>
        <w:t>. 20</w:t>
      </w:r>
      <w:r w:rsidR="00986757">
        <w:rPr>
          <w:rFonts w:ascii="Arial" w:hAnsi="Arial" w:cs="Arial"/>
          <w:sz w:val="22"/>
          <w:szCs w:val="22"/>
          <w:lang w:eastAsia="x-none"/>
        </w:rPr>
        <w:t>2</w:t>
      </w:r>
      <w:r w:rsidR="00303CFA">
        <w:rPr>
          <w:rFonts w:ascii="Arial" w:hAnsi="Arial" w:cs="Arial"/>
          <w:sz w:val="22"/>
          <w:szCs w:val="22"/>
          <w:lang w:eastAsia="x-none"/>
        </w:rPr>
        <w:t>3</w:t>
      </w:r>
    </w:p>
    <w:p w14:paraId="2B906F0A" w14:textId="77777777"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14:paraId="5F00A7C0" w14:textId="77777777" w:rsidR="00FA0761" w:rsidRPr="005D488A" w:rsidRDefault="005D488A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Pozn.: 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14:paraId="373057C7" w14:textId="77777777"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3BE26531" w14:textId="20960CFB" w:rsidR="005E0DD1" w:rsidRPr="00601268" w:rsidRDefault="00265063" w:rsidP="00601268">
      <w:pPr>
        <w:rPr>
          <w:rFonts w:ascii="Arial" w:hAnsi="Arial" w:cs="Arial"/>
          <w:sz w:val="20"/>
          <w:szCs w:val="20"/>
        </w:rPr>
      </w:pPr>
      <w:r w:rsidRPr="00265063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(</w:t>
      </w:r>
      <w:r w:rsidRPr="00601268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1</w:t>
      </w:r>
      <w:r w:rsidRPr="00601268">
        <w:rPr>
          <w:rFonts w:ascii="Arial" w:hAnsi="Arial" w:cs="Arial"/>
          <w:i/>
          <w:spacing w:val="-4"/>
          <w:sz w:val="20"/>
          <w:szCs w:val="20"/>
        </w:rPr>
        <w:t>)</w:t>
      </w:r>
      <w:r w:rsidR="005E0DD1" w:rsidRPr="00C206B4">
        <w:rPr>
          <w:rFonts w:ascii="Arial" w:hAnsi="Arial" w:cs="Arial"/>
          <w:i/>
          <w:sz w:val="20"/>
          <w:szCs w:val="20"/>
        </w:rPr>
        <w:t> </w:t>
      </w:r>
      <w:r w:rsidR="000F0B36" w:rsidRPr="00265063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</w:t>
      </w:r>
      <w:r w:rsidR="000F0B36" w:rsidRPr="000F0B36">
        <w:rPr>
          <w:rFonts w:ascii="Arial" w:hAnsi="Arial" w:cs="Arial"/>
          <w:i/>
          <w:sz w:val="20"/>
          <w:szCs w:val="20"/>
        </w:rPr>
        <w:t>.</w:t>
      </w:r>
      <w:r w:rsidR="009A40E5">
        <w:rPr>
          <w:rFonts w:ascii="Arial" w:hAnsi="Arial" w:cs="Arial"/>
          <w:i/>
          <w:sz w:val="20"/>
          <w:szCs w:val="20"/>
        </w:rPr>
        <w:t xml:space="preserve"> </w:t>
      </w:r>
      <w:r w:rsidR="005E0DD1" w:rsidRPr="00265063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265063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601268">
        <w:rPr>
          <w:rFonts w:ascii="Arial" w:hAnsi="Arial" w:cs="Arial"/>
          <w:sz w:val="20"/>
          <w:szCs w:val="20"/>
        </w:rPr>
        <w:t xml:space="preserve">. </w:t>
      </w:r>
    </w:p>
    <w:p w14:paraId="3BC7E668" w14:textId="2BE6911C" w:rsidR="00DB47D9" w:rsidRPr="008A4F6F" w:rsidRDefault="00DB47D9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7EDEFC1E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4B7B1105" w14:textId="2738495E" w:rsidR="00D80C4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8A13F2">
        <w:rPr>
          <w:rFonts w:ascii="Arial" w:hAnsi="Arial" w:cs="Arial"/>
          <w:sz w:val="22"/>
          <w:szCs w:val="22"/>
        </w:rPr>
        <w:t>zadavatele č. 1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činí</w:t>
      </w:r>
      <w:r w:rsidR="00C96862">
        <w:rPr>
          <w:rFonts w:ascii="Arial" w:hAnsi="Arial" w:cs="Arial"/>
          <w:sz w:val="22"/>
          <w:szCs w:val="22"/>
        </w:rPr>
        <w:tab/>
      </w:r>
      <w:r w:rsidR="000F0767">
        <w:rPr>
          <w:rFonts w:ascii="Arial" w:hAnsi="Arial" w:cs="Arial"/>
          <w:sz w:val="22"/>
          <w:szCs w:val="22"/>
        </w:rPr>
        <w:t>9 310 139</w:t>
      </w:r>
      <w:r w:rsidR="00C96862">
        <w:rPr>
          <w:rFonts w:ascii="Arial" w:hAnsi="Arial" w:cs="Arial"/>
          <w:sz w:val="22"/>
          <w:szCs w:val="22"/>
        </w:rPr>
        <w:t xml:space="preserve"> Kč bez DPH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B48CC0D" w14:textId="77777777" w:rsidR="00B023F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42C8E364" w14:textId="2532F94A" w:rsidR="00814ECC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>zadavatele č. 2</w:t>
      </w:r>
      <w:r w:rsidRPr="008A4F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činí</w:t>
      </w:r>
      <w:r w:rsidR="00C96862">
        <w:rPr>
          <w:rFonts w:ascii="Arial" w:hAnsi="Arial" w:cs="Arial"/>
          <w:sz w:val="22"/>
          <w:szCs w:val="22"/>
        </w:rPr>
        <w:tab/>
      </w:r>
      <w:r w:rsidR="00170C74">
        <w:rPr>
          <w:rFonts w:ascii="Arial" w:hAnsi="Arial" w:cs="Arial"/>
          <w:sz w:val="22"/>
          <w:szCs w:val="22"/>
        </w:rPr>
        <w:t xml:space="preserve">  </w:t>
      </w:r>
      <w:r w:rsidR="000F0767">
        <w:rPr>
          <w:rFonts w:ascii="Arial" w:hAnsi="Arial" w:cs="Arial"/>
          <w:sz w:val="22"/>
          <w:szCs w:val="22"/>
        </w:rPr>
        <w:t>1 869 685</w:t>
      </w:r>
      <w:r w:rsidR="005A283E" w:rsidRPr="003C3659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Kč bez DPH</w:t>
      </w:r>
    </w:p>
    <w:p w14:paraId="2FC856E9" w14:textId="77777777" w:rsidR="00986757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0C920FCE" w14:textId="7FA028D1"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C96862">
        <w:rPr>
          <w:rFonts w:ascii="Arial" w:hAnsi="Arial" w:cs="Arial"/>
          <w:b/>
          <w:sz w:val="22"/>
          <w:szCs w:val="22"/>
        </w:rPr>
        <w:t>činí</w:t>
      </w:r>
      <w:r w:rsidR="00A9194B">
        <w:rPr>
          <w:rFonts w:ascii="Arial" w:hAnsi="Arial" w:cs="Arial"/>
          <w:b/>
          <w:sz w:val="22"/>
          <w:szCs w:val="22"/>
        </w:rPr>
        <w:t xml:space="preserve">                 </w:t>
      </w:r>
      <w:r w:rsidR="004D0433">
        <w:rPr>
          <w:rFonts w:ascii="Arial" w:hAnsi="Arial" w:cs="Arial"/>
          <w:b/>
          <w:sz w:val="22"/>
          <w:szCs w:val="22"/>
        </w:rPr>
        <w:t xml:space="preserve"> </w:t>
      </w:r>
      <w:r w:rsidR="000F0767">
        <w:rPr>
          <w:rFonts w:ascii="Arial" w:hAnsi="Arial" w:cs="Arial"/>
          <w:b/>
          <w:sz w:val="22"/>
          <w:szCs w:val="22"/>
        </w:rPr>
        <w:t>11 179 824</w:t>
      </w:r>
      <w:r w:rsidRPr="00170C74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170C74">
        <w:rPr>
          <w:rFonts w:ascii="Arial" w:hAnsi="Arial" w:cs="Arial"/>
          <w:b/>
          <w:sz w:val="22"/>
          <w:szCs w:val="22"/>
        </w:rPr>
        <w:t xml:space="preserve"> DPH</w:t>
      </w:r>
    </w:p>
    <w:p w14:paraId="5A74F9C5" w14:textId="77777777" w:rsidR="00FA05BF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BA496F0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643F4655" w14:textId="77777777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7C4E0D9B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596CF156" w14:textId="0205A2F4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2D4918E0" w14:textId="45540CFA" w:rsidR="004D0433" w:rsidRPr="00C206B4" w:rsidRDefault="004D0433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096D1310" w14:textId="77777777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14:paraId="38810C5A" w14:textId="77777777" w:rsidR="00F65D48" w:rsidRDefault="00F65D48" w:rsidP="00601268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49C3B3BC" w14:textId="77777777"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3D3015F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0E87DB2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722AC39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D9E855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56D7DC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047EC676" w14:textId="7777777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0E9052E5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51C8CD3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F76AA41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66E343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CD5E916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55BD94A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0FABE618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0A6E40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D8610E5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B42F7D0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23299924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DE4C4DC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C60EA0A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CFF4B5D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78FAFE6E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FFFC56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443185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2D2C8AE4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D922EC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51D8642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8B4799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5EA9EACD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37A19CDB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4E0B43FE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13C3739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1E1F5848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338A7C14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62C6CE66" w14:textId="77777777" w:rsidR="00955BB3" w:rsidRPr="00025E6E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7FE915AA" w14:textId="77777777" w:rsidR="00025E6E" w:rsidRPr="001B733C" w:rsidRDefault="00F86AE1" w:rsidP="00B753A0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2B6A0DAE" w14:textId="77777777" w:rsidR="001B733C" w:rsidRDefault="001B733C" w:rsidP="001B733C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</w:rPr>
      </w:pPr>
    </w:p>
    <w:p w14:paraId="1E9B8622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4F75897D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6B2850A8" w14:textId="0C00A7C6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04AB2B7B" w14:textId="77777777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35AFB745" w14:textId="4DCB63DA" w:rsidR="00937000" w:rsidRPr="003A20C3" w:rsidRDefault="00770690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lastRenderedPageBreak/>
        <w:t xml:space="preserve">a) </w:t>
      </w:r>
      <w:r w:rsidR="003657AA"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49588C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9588C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9588C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k</w:t>
      </w:r>
      <w:r w:rsidR="006F7B97" w:rsidRPr="003A20C3">
        <w:rPr>
          <w:rFonts w:ascii="Arial" w:hAnsi="Arial" w:cs="Arial"/>
          <w:spacing w:val="-4"/>
          <w:sz w:val="22"/>
          <w:szCs w:val="22"/>
        </w:rPr>
        <w:t xml:space="preserve">ompletní </w:t>
      </w:r>
      <w:r w:rsidR="00A15B18" w:rsidRPr="003A20C3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3A20C3">
        <w:rPr>
          <w:rFonts w:ascii="Arial" w:hAnsi="Arial" w:cs="Arial"/>
          <w:spacing w:val="-4"/>
          <w:sz w:val="22"/>
          <w:szCs w:val="22"/>
        </w:rPr>
        <w:t>i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3A20C3">
        <w:rPr>
          <w:rFonts w:ascii="Arial" w:hAnsi="Arial" w:cs="Arial"/>
          <w:spacing w:val="-4"/>
          <w:sz w:val="22"/>
          <w:szCs w:val="22"/>
        </w:rPr>
        <w:t>ě</w:t>
      </w:r>
      <w:r w:rsidR="0003652B" w:rsidRPr="003A20C3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3A20C3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3A20C3">
        <w:rPr>
          <w:rFonts w:ascii="Arial" w:hAnsi="Arial" w:cs="Arial"/>
          <w:sz w:val="22"/>
          <w:szCs w:val="22"/>
        </w:rPr>
        <w:t xml:space="preserve"> délkou </w:t>
      </w:r>
      <w:r w:rsidR="000944FA" w:rsidRPr="003A20C3">
        <w:rPr>
          <w:rFonts w:ascii="Arial" w:hAnsi="Arial" w:cs="Arial"/>
          <w:sz w:val="22"/>
          <w:szCs w:val="22"/>
        </w:rPr>
        <w:t>4</w:t>
      </w:r>
      <w:r w:rsidR="008C149E" w:rsidRPr="003A20C3">
        <w:rPr>
          <w:rFonts w:ascii="Arial" w:hAnsi="Arial" w:cs="Arial"/>
          <w:sz w:val="22"/>
          <w:szCs w:val="22"/>
        </w:rPr>
        <w:t>00</w:t>
      </w:r>
      <w:r w:rsidR="00A15B18" w:rsidRPr="003A20C3">
        <w:rPr>
          <w:rFonts w:ascii="Arial" w:hAnsi="Arial" w:cs="Arial"/>
          <w:sz w:val="22"/>
          <w:szCs w:val="22"/>
        </w:rPr>
        <w:t xml:space="preserve"> m</w:t>
      </w:r>
      <w:r w:rsidR="0062635B" w:rsidRPr="003A20C3">
        <w:rPr>
          <w:rFonts w:ascii="Arial" w:hAnsi="Arial" w:cs="Arial"/>
          <w:sz w:val="22"/>
          <w:szCs w:val="22"/>
        </w:rPr>
        <w:t xml:space="preserve"> </w:t>
      </w:r>
      <w:r w:rsidR="0049588C">
        <w:rPr>
          <w:rFonts w:ascii="Arial" w:hAnsi="Arial" w:cs="Arial"/>
          <w:sz w:val="22"/>
          <w:szCs w:val="22"/>
        </w:rPr>
        <w:t xml:space="preserve">v průtahu obce </w:t>
      </w:r>
      <w:r w:rsidR="006F7B97" w:rsidRPr="003A20C3">
        <w:rPr>
          <w:rFonts w:ascii="Arial" w:hAnsi="Arial" w:cs="Arial"/>
          <w:sz w:val="22"/>
          <w:szCs w:val="22"/>
        </w:rPr>
        <w:t xml:space="preserve">s celkovými investičními náklady </w:t>
      </w:r>
      <w:r w:rsidR="0062635B" w:rsidRPr="003A20C3">
        <w:rPr>
          <w:rFonts w:ascii="Arial" w:hAnsi="Arial" w:cs="Arial"/>
          <w:sz w:val="22"/>
          <w:szCs w:val="22"/>
        </w:rPr>
        <w:t xml:space="preserve">ve výši </w:t>
      </w:r>
      <w:r w:rsidR="00957388" w:rsidRPr="003A20C3">
        <w:rPr>
          <w:rFonts w:ascii="Arial" w:hAnsi="Arial" w:cs="Arial"/>
          <w:sz w:val="22"/>
          <w:szCs w:val="22"/>
        </w:rPr>
        <w:t xml:space="preserve">minimálně </w:t>
      </w:r>
      <w:r w:rsidR="0049588C">
        <w:rPr>
          <w:rFonts w:ascii="Arial" w:hAnsi="Arial" w:cs="Arial"/>
          <w:sz w:val="22"/>
          <w:szCs w:val="22"/>
        </w:rPr>
        <w:t>4</w:t>
      </w:r>
      <w:r w:rsidR="008C149E" w:rsidRPr="003A20C3">
        <w:rPr>
          <w:rFonts w:ascii="Arial" w:hAnsi="Arial" w:cs="Arial"/>
          <w:sz w:val="22"/>
          <w:szCs w:val="22"/>
        </w:rPr>
        <w:t xml:space="preserve"> </w:t>
      </w:r>
      <w:r w:rsidR="00957388" w:rsidRPr="003A20C3">
        <w:rPr>
          <w:rFonts w:ascii="Arial" w:hAnsi="Arial" w:cs="Arial"/>
          <w:sz w:val="22"/>
          <w:szCs w:val="22"/>
        </w:rPr>
        <w:t>m</w:t>
      </w:r>
      <w:r w:rsidR="006F7B97" w:rsidRPr="003A20C3">
        <w:rPr>
          <w:rFonts w:ascii="Arial" w:hAnsi="Arial" w:cs="Arial"/>
          <w:sz w:val="22"/>
          <w:szCs w:val="22"/>
        </w:rPr>
        <w:t>il. Kč bez DPH</w:t>
      </w:r>
      <w:r w:rsidR="00363085" w:rsidRPr="003A20C3">
        <w:rPr>
          <w:rFonts w:ascii="Arial" w:hAnsi="Arial" w:cs="Arial"/>
          <w:sz w:val="22"/>
          <w:szCs w:val="22"/>
        </w:rPr>
        <w:t xml:space="preserve"> na stavbu</w:t>
      </w:r>
      <w:r w:rsidR="00937000" w:rsidRPr="003A20C3">
        <w:rPr>
          <w:rFonts w:ascii="Arial" w:hAnsi="Arial" w:cs="Arial"/>
          <w:b/>
          <w:sz w:val="22"/>
          <w:szCs w:val="22"/>
        </w:rPr>
        <w:t>,</w:t>
      </w:r>
    </w:p>
    <w:p w14:paraId="466EFD68" w14:textId="0637D6A2" w:rsidR="00942BE5" w:rsidRPr="00942BE5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/>
          <w:spacing w:val="-6"/>
          <w:szCs w:val="22"/>
        </w:rPr>
        <w:t xml:space="preserve">b) </w:t>
      </w:r>
      <w:r w:rsidR="00D31BCB">
        <w:rPr>
          <w:rFonts w:cs="Arial"/>
          <w:b/>
          <w:spacing w:val="-6"/>
          <w:szCs w:val="22"/>
        </w:rPr>
        <w:t xml:space="preserve">minimálně </w:t>
      </w:r>
      <w:r w:rsidR="00E20C2D" w:rsidRPr="00D31BCB">
        <w:rPr>
          <w:rFonts w:cs="Arial"/>
          <w:b/>
          <w:spacing w:val="-6"/>
          <w:szCs w:val="22"/>
        </w:rPr>
        <w:t>1</w:t>
      </w:r>
      <w:r w:rsidR="000C03ED" w:rsidRPr="00D31BCB">
        <w:rPr>
          <w:rFonts w:cs="Arial"/>
          <w:b/>
          <w:spacing w:val="-6"/>
          <w:szCs w:val="22"/>
        </w:rPr>
        <w:t xml:space="preserve"> </w:t>
      </w:r>
      <w:r w:rsidRPr="00D31BCB">
        <w:rPr>
          <w:rFonts w:cs="Arial"/>
          <w:b/>
          <w:spacing w:val="-6"/>
          <w:szCs w:val="22"/>
        </w:rPr>
        <w:t>rekonstrukce nebo výstavba chodníku</w:t>
      </w:r>
      <w:r>
        <w:rPr>
          <w:rFonts w:cs="Arial"/>
          <w:spacing w:val="-6"/>
          <w:szCs w:val="22"/>
        </w:rPr>
        <w:t xml:space="preserve">. Tato referenční stavba může být součástí prokazovaných referenčních staveb dle bodu a) a c). </w:t>
      </w:r>
    </w:p>
    <w:p w14:paraId="4CB6E17F" w14:textId="5029C359" w:rsidR="000C03ED" w:rsidRPr="003A20C3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D31BCB">
        <w:rPr>
          <w:rFonts w:cs="Arial"/>
          <w:b/>
          <w:szCs w:val="22"/>
        </w:rPr>
        <w:t>c) minimálně 1 rekonstrukce nebo výstavba veřejného osvětlení</w:t>
      </w:r>
      <w:r>
        <w:rPr>
          <w:rFonts w:cs="Arial"/>
          <w:szCs w:val="22"/>
        </w:rPr>
        <w:t>. Tato referenční stavba může být součástí prokazovaných referenčních staveb dle bodu a) a b).</w:t>
      </w:r>
      <w:r w:rsidR="000C03ED" w:rsidRPr="003A20C3">
        <w:rPr>
          <w:rFonts w:cs="Arial"/>
          <w:szCs w:val="22"/>
        </w:rPr>
        <w:t xml:space="preserve"> </w:t>
      </w:r>
    </w:p>
    <w:p w14:paraId="1EF5AEA3" w14:textId="77777777" w:rsidR="000C03ED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</w:p>
    <w:p w14:paraId="52397376" w14:textId="7B32AF49" w:rsidR="000C03ED" w:rsidRDefault="007318E4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612A76">
        <w:rPr>
          <w:rFonts w:ascii="Arial" w:hAnsi="Arial" w:cs="Arial"/>
          <w:b/>
          <w:sz w:val="22"/>
          <w:szCs w:val="22"/>
        </w:rPr>
        <w:t xml:space="preserve">Kompletní rekonstrukcí silnice se rozumí stavba, kde byla nově provedena </w:t>
      </w:r>
      <w:r>
        <w:rPr>
          <w:rFonts w:ascii="Arial" w:hAnsi="Arial" w:cs="Arial"/>
          <w:b/>
          <w:sz w:val="22"/>
          <w:szCs w:val="22"/>
        </w:rPr>
        <w:t xml:space="preserve">minimálně </w:t>
      </w:r>
      <w:r w:rsidRPr="00612A76">
        <w:rPr>
          <w:rFonts w:ascii="Arial" w:hAnsi="Arial" w:cs="Arial"/>
          <w:b/>
          <w:sz w:val="22"/>
          <w:szCs w:val="22"/>
        </w:rPr>
        <w:t>konstrukce vozovky – podkladní vrstvy</w:t>
      </w:r>
      <w:r w:rsidR="00E20C2D">
        <w:rPr>
          <w:rFonts w:ascii="Arial" w:hAnsi="Arial" w:cs="Arial"/>
          <w:b/>
          <w:sz w:val="22"/>
          <w:szCs w:val="22"/>
        </w:rPr>
        <w:t xml:space="preserve"> (případně recyklace podkladních vrstev)</w:t>
      </w:r>
      <w:r w:rsidRPr="00612A7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 konstrukční</w:t>
      </w:r>
      <w:r w:rsidRPr="00612A76">
        <w:rPr>
          <w:rFonts w:ascii="Arial" w:hAnsi="Arial" w:cs="Arial"/>
          <w:b/>
          <w:sz w:val="22"/>
          <w:szCs w:val="22"/>
        </w:rPr>
        <w:t xml:space="preserve"> asfaltov</w:t>
      </w:r>
      <w:r w:rsidR="009A4783">
        <w:rPr>
          <w:rFonts w:ascii="Arial" w:hAnsi="Arial" w:cs="Arial"/>
          <w:b/>
          <w:sz w:val="22"/>
          <w:szCs w:val="22"/>
        </w:rPr>
        <w:t>é</w:t>
      </w:r>
      <w:r w:rsidRPr="00612A76">
        <w:rPr>
          <w:rFonts w:ascii="Arial" w:hAnsi="Arial" w:cs="Arial"/>
          <w:b/>
          <w:sz w:val="22"/>
          <w:szCs w:val="22"/>
        </w:rPr>
        <w:t xml:space="preserve"> hutněn</w:t>
      </w:r>
      <w:r w:rsidR="009A4783">
        <w:rPr>
          <w:rFonts w:ascii="Arial" w:hAnsi="Arial" w:cs="Arial"/>
          <w:b/>
          <w:sz w:val="22"/>
          <w:szCs w:val="22"/>
        </w:rPr>
        <w:t>é vrst</w:t>
      </w:r>
      <w:r w:rsidRPr="00612A76">
        <w:rPr>
          <w:rFonts w:ascii="Arial" w:hAnsi="Arial" w:cs="Arial"/>
          <w:b/>
          <w:sz w:val="22"/>
          <w:szCs w:val="22"/>
        </w:rPr>
        <w:t>v</w:t>
      </w:r>
      <w:r w:rsidR="009A4783">
        <w:rPr>
          <w:rFonts w:ascii="Arial" w:hAnsi="Arial" w:cs="Arial"/>
          <w:b/>
          <w:sz w:val="22"/>
          <w:szCs w:val="22"/>
        </w:rPr>
        <w:t>y</w:t>
      </w:r>
      <w:r w:rsidRPr="00612A76">
        <w:rPr>
          <w:rFonts w:ascii="Arial" w:hAnsi="Arial" w:cs="Arial"/>
          <w:b/>
          <w:sz w:val="22"/>
          <w:szCs w:val="22"/>
        </w:rPr>
        <w:t>.</w:t>
      </w:r>
    </w:p>
    <w:p w14:paraId="010F6451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468820DC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(finanční 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6F6182EB" w14:textId="77777777"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0AE8655D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10855B28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6706D41D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Vybraný dodavatel je povinen, po vyžádání zadavatele, předložit před uzavřením smlouvy originály či úředně ověřené kopie dokladů o kvalifikaci, pokud již nebyly předloženy. </w:t>
      </w:r>
    </w:p>
    <w:p w14:paraId="0C043A6C" w14:textId="77777777" w:rsidR="00C1400B" w:rsidRPr="00C65395" w:rsidRDefault="00C1400B" w:rsidP="00CB378D">
      <w:pPr>
        <w:pStyle w:val="2sltext"/>
        <w:numPr>
          <w:ilvl w:val="0"/>
          <w:numId w:val="0"/>
        </w:numPr>
        <w:rPr>
          <w:rFonts w:ascii="Arial" w:hAnsi="Arial"/>
        </w:rPr>
      </w:pPr>
      <w:r w:rsidRPr="00C65395">
        <w:rPr>
          <w:rFonts w:ascii="Arial" w:hAnsi="Arial"/>
        </w:rPr>
        <w:t xml:space="preserve">Doklady prokazující základní způsobilost podle § 74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a profesní způsobilost dle § 77 odst. 1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musí prokazovat splnění požadovaného kritéria způsobilosti nejpozději v</w:t>
      </w:r>
      <w:r w:rsidRPr="00C1400B">
        <w:rPr>
          <w:rFonts w:ascii="Arial" w:hAnsi="Arial" w:cs="Arial"/>
        </w:rPr>
        <w:t xml:space="preserve"> </w:t>
      </w:r>
      <w:r w:rsidRPr="00C65395">
        <w:rPr>
          <w:rFonts w:ascii="Arial" w:hAnsi="Arial"/>
        </w:rPr>
        <w:t xml:space="preserve">době 3 měsíců přede dnem podání nabídky.  </w:t>
      </w:r>
    </w:p>
    <w:p w14:paraId="19420B91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15C27459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5FF6366C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0392C101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3002E8D4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7AAADFF5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085EBD22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1400B" w:rsidRPr="00C1400B">
        <w:rPr>
          <w:rFonts w:ascii="Arial" w:hAnsi="Arial" w:cs="Arial"/>
        </w:rPr>
        <w:t xml:space="preserve">písemný závazek jiné osoby k poskytnutí plnění určeného k plnění veř. </w:t>
      </w:r>
      <w:proofErr w:type="gramStart"/>
      <w:r w:rsidR="00C1400B" w:rsidRPr="00C1400B">
        <w:rPr>
          <w:rFonts w:ascii="Arial" w:hAnsi="Arial" w:cs="Arial"/>
        </w:rPr>
        <w:t>zakázky</w:t>
      </w:r>
      <w:proofErr w:type="gramEnd"/>
      <w:r w:rsidR="00C1400B" w:rsidRPr="00C1400B">
        <w:rPr>
          <w:rFonts w:ascii="Arial" w:hAnsi="Arial" w:cs="Arial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</w:p>
    <w:p w14:paraId="358A7008" w14:textId="77777777" w:rsidR="00797D57" w:rsidRDefault="00797D57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1AF8C2F8" w14:textId="77777777" w:rsidR="005C114D" w:rsidRPr="00D9738F" w:rsidRDefault="005C114D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45C5253" w14:textId="77777777"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74CF16C3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47A92429" w14:textId="77777777" w:rsidR="005D7127" w:rsidRDefault="005D7127" w:rsidP="005D7127">
      <w:pPr>
        <w:pStyle w:val="Nadpis2"/>
        <w:rPr>
          <w:u w:val="single"/>
        </w:rPr>
      </w:pPr>
      <w:r w:rsidRPr="005D7127">
        <w:rPr>
          <w:u w:val="single"/>
        </w:rPr>
        <w:t>Další požadavky zadavatel</w:t>
      </w:r>
      <w:r w:rsidR="0072281C">
        <w:rPr>
          <w:u w:val="single"/>
        </w:rPr>
        <w:t>ů</w:t>
      </w:r>
    </w:p>
    <w:p w14:paraId="3EDD1355" w14:textId="5D015BB0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 xml:space="preserve">Vybraný dodavatel je povinen předat při podpisu smlouvy o dílo </w:t>
      </w:r>
      <w:r w:rsidR="00986757">
        <w:rPr>
          <w:rFonts w:ascii="Arial" w:hAnsi="Arial" w:cs="Arial"/>
          <w:sz w:val="22"/>
          <w:szCs w:val="22"/>
        </w:rPr>
        <w:t xml:space="preserve">se zadavatelem č. 1 </w:t>
      </w:r>
      <w:r w:rsidR="00176362">
        <w:rPr>
          <w:rFonts w:ascii="Arial" w:hAnsi="Arial" w:cs="Arial"/>
          <w:sz w:val="22"/>
          <w:szCs w:val="22"/>
        </w:rPr>
        <w:t xml:space="preserve">a č. 2 </w:t>
      </w:r>
      <w:r w:rsidRPr="00A3504B">
        <w:rPr>
          <w:rFonts w:ascii="Arial" w:hAnsi="Arial" w:cs="Arial"/>
          <w:sz w:val="22"/>
          <w:szCs w:val="22"/>
        </w:rPr>
        <w:t xml:space="preserve">úředně ověřenou kopii pojistné smlouvy na pojištění odpovědnosti za škodu způsobenou dodavatelem třetí osobě s minimální pojistnou částkou pojištění odpovědnosti za škodu způsobenou třetím osobám ve výši min. </w:t>
      </w:r>
      <w:r w:rsidR="00216E7F">
        <w:rPr>
          <w:rFonts w:ascii="Arial" w:hAnsi="Arial" w:cs="Arial"/>
          <w:sz w:val="22"/>
          <w:szCs w:val="22"/>
        </w:rPr>
        <w:t>5</w:t>
      </w:r>
      <w:r w:rsidRPr="00A3504B">
        <w:rPr>
          <w:rFonts w:ascii="Arial" w:hAnsi="Arial" w:cs="Arial"/>
          <w:sz w:val="22"/>
          <w:szCs w:val="22"/>
        </w:rPr>
        <w:t xml:space="preserve"> mil. Kč.</w:t>
      </w:r>
    </w:p>
    <w:p w14:paraId="423B86EF" w14:textId="77777777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</w:p>
    <w:p w14:paraId="2277FAE5" w14:textId="77777777" w:rsidR="009652A0" w:rsidRDefault="009652A0" w:rsidP="005D7127">
      <w:pPr>
        <w:rPr>
          <w:rFonts w:ascii="Arial" w:hAnsi="Arial" w:cs="Arial"/>
          <w:sz w:val="22"/>
          <w:szCs w:val="22"/>
        </w:rPr>
      </w:pPr>
    </w:p>
    <w:p w14:paraId="6FE0F922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14:paraId="24C27FCE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Dodavatelům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 Kraje</w:t>
      </w:r>
      <w:r w:rsidRPr="008A4F6F">
        <w:rPr>
          <w:rFonts w:ascii="Arial" w:hAnsi="Arial" w:cs="Arial"/>
          <w:sz w:val="22"/>
          <w:szCs w:val="22"/>
        </w:rPr>
        <w:t xml:space="preserve"> Vysočina: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54ADDA07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2C92105E" w14:textId="77777777"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A8AA71C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3439C985" w14:textId="77777777"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14:paraId="27F4BFF8" w14:textId="77777777"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14:paraId="73755FF6" w14:textId="4E5CFC16" w:rsidR="00611A98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(Kraj Vysočina, </w:t>
      </w:r>
      <w:r w:rsidR="00B82285" w:rsidRPr="00176362">
        <w:rPr>
          <w:rFonts w:ascii="Arial" w:hAnsi="Arial" w:cs="Arial"/>
          <w:sz w:val="22"/>
          <w:szCs w:val="22"/>
        </w:rPr>
        <w:t xml:space="preserve">obec </w:t>
      </w:r>
      <w:r w:rsidR="00D924A2" w:rsidRPr="00176362">
        <w:rPr>
          <w:rFonts w:ascii="Arial" w:hAnsi="Arial" w:cs="Arial"/>
          <w:sz w:val="22"/>
          <w:szCs w:val="22"/>
        </w:rPr>
        <w:t>Čejov</w:t>
      </w:r>
      <w:r w:rsidR="008326BF" w:rsidRPr="00176362">
        <w:rPr>
          <w:rFonts w:ascii="Arial" w:hAnsi="Arial" w:cs="Arial"/>
          <w:sz w:val="22"/>
          <w:szCs w:val="22"/>
        </w:rPr>
        <w:t>)</w:t>
      </w:r>
    </w:p>
    <w:p w14:paraId="78EF5C85" w14:textId="5BA9DA2B" w:rsidR="0042749D" w:rsidRPr="00176362" w:rsidRDefault="0042749D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Seznam poddodavatelů</w:t>
      </w:r>
    </w:p>
    <w:p w14:paraId="1E238781" w14:textId="6D5A21DD" w:rsidR="00D924A2" w:rsidRPr="0017636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Projektová dokumentace ve stupni DSP „II/347 Čejov - průtah“, vypracovaná společností HBH Projekt spol. s r. o. v digitální podobě</w:t>
      </w:r>
    </w:p>
    <w:p w14:paraId="35D2132C" w14:textId="3C6EE0F6" w:rsidR="00D924A2" w:rsidRPr="00176362" w:rsidRDefault="00D924A2" w:rsidP="0091763C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Projektová dokumentace stupně PDPS „II/347 Čejov - průtah“, vypracovaná společností HBH Projekt spol. s r. o.  včetně  soupisu prací v digitální podobě</w:t>
      </w:r>
    </w:p>
    <w:p w14:paraId="0E231FA5" w14:textId="7FFE16C6" w:rsidR="00D924A2" w:rsidRPr="0017636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Stavební povolení č. j.: MUHU/42381/2019/</w:t>
      </w:r>
      <w:proofErr w:type="spellStart"/>
      <w:r w:rsidRPr="00176362">
        <w:rPr>
          <w:rFonts w:ascii="Arial" w:hAnsi="Arial" w:cs="Arial"/>
          <w:sz w:val="22"/>
          <w:szCs w:val="22"/>
        </w:rPr>
        <w:t>Jt</w:t>
      </w:r>
      <w:proofErr w:type="spellEnd"/>
      <w:r w:rsidRPr="00176362">
        <w:rPr>
          <w:rFonts w:ascii="Arial" w:hAnsi="Arial" w:cs="Arial"/>
          <w:sz w:val="22"/>
          <w:szCs w:val="22"/>
        </w:rPr>
        <w:t xml:space="preserve"> vydané odborem dopravy a SH </w:t>
      </w:r>
      <w:proofErr w:type="spellStart"/>
      <w:r w:rsidRPr="00176362">
        <w:rPr>
          <w:rFonts w:ascii="Arial" w:hAnsi="Arial" w:cs="Arial"/>
          <w:sz w:val="22"/>
          <w:szCs w:val="22"/>
        </w:rPr>
        <w:t>MěÚ</w:t>
      </w:r>
      <w:proofErr w:type="spellEnd"/>
      <w:r w:rsidRPr="00176362">
        <w:rPr>
          <w:rFonts w:ascii="Arial" w:hAnsi="Arial" w:cs="Arial"/>
          <w:sz w:val="22"/>
          <w:szCs w:val="22"/>
        </w:rPr>
        <w:t xml:space="preserve"> Humpolec dne 24. 10. 2019</w:t>
      </w:r>
    </w:p>
    <w:p w14:paraId="51BC9F91" w14:textId="1906ED14" w:rsidR="001E3FEB" w:rsidRDefault="0017636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stupně PDPS veřejného osvětlení vypracovaná společností HBH Projekt spol. s.r.o. včetně soupisu prací</w:t>
      </w:r>
    </w:p>
    <w:p w14:paraId="39C1E777" w14:textId="7EB616A5" w:rsidR="00A75E43" w:rsidRPr="001C3ABC" w:rsidRDefault="00A75E43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Územní souhlas s umístěním veřejného osvětlení č. j. MUHU/37815/2021/Za vydaný stavebním úřadem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Humpolece</w:t>
      </w:r>
      <w:proofErr w:type="spellEnd"/>
      <w:r>
        <w:rPr>
          <w:rFonts w:ascii="Arial" w:hAnsi="Arial" w:cs="Arial"/>
          <w:sz w:val="22"/>
          <w:szCs w:val="22"/>
        </w:rPr>
        <w:t xml:space="preserve"> dne 3. 8. 2021</w:t>
      </w:r>
    </w:p>
    <w:p w14:paraId="5B9068A9" w14:textId="0D81858F" w:rsidR="006F7F06" w:rsidRPr="00F14F51" w:rsidRDefault="006F7F06" w:rsidP="00D924A2">
      <w:pPr>
        <w:pStyle w:val="Odstavecseseznamem"/>
        <w:spacing w:line="264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CEE2368" w14:textId="77777777" w:rsidR="00DE42B3" w:rsidRPr="00707B6F" w:rsidRDefault="00DE42B3" w:rsidP="00DE42B3">
      <w:pPr>
        <w:pStyle w:val="Nadpis1"/>
      </w:pPr>
      <w:r w:rsidRPr="00707B6F">
        <w:lastRenderedPageBreak/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16D12BF1" w14:textId="77777777"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, že na zadávanou veřejnou zakázku se uplatní </w:t>
      </w:r>
      <w:proofErr w:type="spellStart"/>
      <w:r w:rsidRPr="00E82935">
        <w:rPr>
          <w:rFonts w:ascii="Arial" w:hAnsi="Arial" w:cs="Arial"/>
          <w:sz w:val="22"/>
          <w:szCs w:val="22"/>
        </w:rPr>
        <w:t>ust</w:t>
      </w:r>
      <w:proofErr w:type="spellEnd"/>
      <w:r w:rsidRPr="00E82935">
        <w:rPr>
          <w:rFonts w:ascii="Arial" w:hAnsi="Arial" w:cs="Arial"/>
          <w:sz w:val="22"/>
          <w:szCs w:val="22"/>
        </w:rPr>
        <w:t xml:space="preserve">. § 211 odst. 3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18F8A40" w14:textId="77777777"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2AB7A0F4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1A6731A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499A8AB4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8C80890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CFD48B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5BDC5EF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034F211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A374E10" w14:textId="77777777"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14:paraId="36BABE7D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352A92DC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14:paraId="3D50C668" w14:textId="77777777"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ED85E5E" w14:textId="77777777" w:rsidR="00797D57" w:rsidRPr="00D93D3A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4C23A5A8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t>Podmínky sestavení a podání nabídk</w:t>
      </w:r>
      <w:bookmarkEnd w:id="13"/>
      <w:r w:rsidR="00DD1BCE">
        <w:t>y</w:t>
      </w:r>
    </w:p>
    <w:p w14:paraId="0E970BE1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14:paraId="53AF7527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0D2E3EC6" w14:textId="77777777" w:rsidR="00BD7656" w:rsidRPr="000B4B84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B4B84">
        <w:rPr>
          <w:rFonts w:ascii="Arial" w:eastAsia="MS Mincho" w:hAnsi="Arial" w:cs="Arial"/>
          <w:sz w:val="22"/>
          <w:szCs w:val="22"/>
        </w:rPr>
        <w:t>Nabídková cena pro každ</w:t>
      </w:r>
      <w:r w:rsidR="00685D79">
        <w:rPr>
          <w:rFonts w:ascii="Arial" w:eastAsia="MS Mincho" w:hAnsi="Arial" w:cs="Arial"/>
          <w:sz w:val="22"/>
          <w:szCs w:val="22"/>
        </w:rPr>
        <w:t>ého zadavatele</w:t>
      </w:r>
      <w:r w:rsidRPr="000B4B84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0B4B84">
        <w:rPr>
          <w:rFonts w:ascii="Arial" w:eastAsia="MS Mincho" w:hAnsi="Arial" w:cs="Arial"/>
          <w:sz w:val="22"/>
          <w:szCs w:val="22"/>
        </w:rPr>
        <w:t>v</w:t>
      </w:r>
      <w:r w:rsidR="00685D79">
        <w:rPr>
          <w:rFonts w:ascii="Arial" w:eastAsia="MS Mincho" w:hAnsi="Arial" w:cs="Arial"/>
          <w:sz w:val="22"/>
          <w:szCs w:val="22"/>
        </w:rPr>
        <w:t> </w:t>
      </w:r>
      <w:r w:rsidR="00854BEB">
        <w:rPr>
          <w:rFonts w:ascii="Arial" w:eastAsia="MS Mincho" w:hAnsi="Arial" w:cs="Arial"/>
          <w:sz w:val="22"/>
          <w:szCs w:val="22"/>
        </w:rPr>
        <w:t>návrhu</w:t>
      </w:r>
      <w:r w:rsidR="00685D79">
        <w:rPr>
          <w:rFonts w:ascii="Arial" w:eastAsia="MS Mincho" w:hAnsi="Arial" w:cs="Arial"/>
          <w:sz w:val="22"/>
          <w:szCs w:val="22"/>
        </w:rPr>
        <w:t xml:space="preserve"> jeho</w:t>
      </w:r>
      <w:r w:rsidR="00854BEB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C65395">
        <w:rPr>
          <w:rFonts w:ascii="Arial" w:eastAsia="MS Mincho" w:hAnsi="Arial"/>
          <w:b/>
          <w:sz w:val="22"/>
        </w:rPr>
        <w:t xml:space="preserve">korunách českých (CZK), </w:t>
      </w:r>
      <w:r w:rsidR="00B10CC9" w:rsidRPr="00C65395">
        <w:rPr>
          <w:rFonts w:ascii="Arial" w:eastAsia="MS Mincho" w:hAnsi="Arial"/>
          <w:b/>
          <w:sz w:val="22"/>
        </w:rPr>
        <w:t>v členění: nabídková cena bez DPH, samostatně DPH (sazba DPH v %) a nabí</w:t>
      </w:r>
      <w:r w:rsidR="009D2AA3" w:rsidRPr="00C65395">
        <w:rPr>
          <w:rFonts w:ascii="Arial" w:eastAsia="MS Mincho" w:hAnsi="Arial"/>
          <w:b/>
          <w:sz w:val="22"/>
        </w:rPr>
        <w:t>dková cena včetně DPH</w:t>
      </w:r>
      <w:r w:rsidR="009D2AA3" w:rsidRPr="000B4B84">
        <w:rPr>
          <w:rFonts w:ascii="Arial" w:eastAsia="MS Mincho" w:hAnsi="Arial" w:cs="Arial"/>
          <w:sz w:val="22"/>
          <w:szCs w:val="22"/>
        </w:rPr>
        <w:t xml:space="preserve">. </w:t>
      </w:r>
    </w:p>
    <w:p w14:paraId="422AF118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04700448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lastRenderedPageBreak/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14:paraId="18FA8690" w14:textId="77777777"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14:paraId="5860FA79" w14:textId="7FA2EC72"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*.</w:t>
      </w:r>
      <w:proofErr w:type="spellStart"/>
      <w:r>
        <w:rPr>
          <w:rFonts w:cs="Arial"/>
          <w:b/>
          <w:bCs/>
          <w:szCs w:val="22"/>
        </w:rPr>
        <w:t>xls</w:t>
      </w:r>
      <w:proofErr w:type="spellEnd"/>
      <w:r>
        <w:rPr>
          <w:rFonts w:cs="Arial"/>
          <w:b/>
          <w:bCs/>
          <w:szCs w:val="22"/>
        </w:rPr>
        <w:t>/*.</w:t>
      </w:r>
      <w:proofErr w:type="spellStart"/>
      <w:r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14:paraId="1B75D644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2A9AE2C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28B7BB2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0C150780" w14:textId="77777777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1DCD76F2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8"/>
      <w:r w:rsidR="00DD1BCE">
        <w:rPr>
          <w:sz w:val="22"/>
          <w:szCs w:val="22"/>
        </w:rPr>
        <w:t>y</w:t>
      </w:r>
    </w:p>
    <w:p w14:paraId="6E58D34A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60AEB29F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2907579A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14:paraId="19B8809F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562B06C9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4BB0419C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3D1C96D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62292693" w14:textId="77777777"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5FB9B648" w14:textId="77777777"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7292E309" w14:textId="081856FB" w:rsidR="00A764F9" w:rsidRP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Časový harmonogram plnění v</w:t>
      </w:r>
      <w:r w:rsid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členění po </w:t>
      </w:r>
      <w:r w:rsidR="00733B8F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14:paraId="081CCC48" w14:textId="77777777" w:rsidR="00A764F9" w:rsidRP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Návrh platebního kalendáře v členění po měsících</w:t>
      </w:r>
    </w:p>
    <w:p w14:paraId="53D58AF2" w14:textId="77777777"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424046DF" w14:textId="77777777" w:rsid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36EBB480" w14:textId="77777777" w:rsidR="0042749D" w:rsidRDefault="0042749D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0B786407" w14:textId="77777777"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24A205A2" w14:textId="77777777"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  <w:r w:rsidR="0018427B">
        <w:rPr>
          <w:rFonts w:ascii="Arial" w:hAnsi="Arial" w:cs="Arial"/>
          <w:b/>
          <w:bCs/>
        </w:rPr>
        <w:t xml:space="preserve"> a</w:t>
      </w:r>
      <w:r w:rsidRPr="00B16779">
        <w:rPr>
          <w:rFonts w:ascii="Arial" w:hAnsi="Arial" w:cs="Arial"/>
          <w:b/>
          <w:bCs/>
        </w:rPr>
        <w:t xml:space="preserve"> termín</w:t>
      </w:r>
      <w:r w:rsidR="0018427B">
        <w:rPr>
          <w:rFonts w:ascii="Arial" w:hAnsi="Arial" w:cs="Arial"/>
          <w:b/>
          <w:bCs/>
        </w:rPr>
        <w:t xml:space="preserve"> </w:t>
      </w:r>
      <w:r w:rsidRPr="00B16779">
        <w:rPr>
          <w:rFonts w:ascii="Arial" w:hAnsi="Arial" w:cs="Arial"/>
          <w:b/>
          <w:bCs/>
        </w:rPr>
        <w:t xml:space="preserve">otevírání </w:t>
      </w:r>
      <w:r w:rsidR="00774393">
        <w:rPr>
          <w:rFonts w:ascii="Arial" w:hAnsi="Arial" w:cs="Arial"/>
          <w:b/>
          <w:bCs/>
        </w:rPr>
        <w:t>nabíde</w:t>
      </w:r>
      <w:r w:rsidRPr="00B16779">
        <w:rPr>
          <w:rFonts w:ascii="Arial" w:hAnsi="Arial" w:cs="Arial"/>
          <w:b/>
          <w:bCs/>
        </w:rPr>
        <w:t>k veřejné zakázky</w:t>
      </w:r>
    </w:p>
    <w:p w14:paraId="76BEEE51" w14:textId="69A5234C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r w:rsidR="000A6EF5">
        <w:rPr>
          <w:rFonts w:ascii="Arial" w:hAnsi="Arial" w:cs="Arial"/>
          <w:b/>
          <w:sz w:val="22"/>
          <w:szCs w:val="22"/>
        </w:rPr>
        <w:t>22</w:t>
      </w:r>
      <w:bookmarkStart w:id="21" w:name="_GoBack"/>
      <w:bookmarkEnd w:id="21"/>
      <w:r w:rsidR="00BC0F5A" w:rsidRPr="00797D57">
        <w:rPr>
          <w:rFonts w:ascii="Arial" w:hAnsi="Arial" w:cs="Arial"/>
          <w:b/>
          <w:sz w:val="22"/>
          <w:szCs w:val="22"/>
        </w:rPr>
        <w:t xml:space="preserve">. </w:t>
      </w:r>
      <w:r w:rsidR="002B51C3">
        <w:rPr>
          <w:rFonts w:ascii="Arial" w:hAnsi="Arial" w:cs="Arial"/>
          <w:b/>
          <w:sz w:val="22"/>
          <w:szCs w:val="22"/>
        </w:rPr>
        <w:t>9</w:t>
      </w:r>
      <w:r w:rsidR="00BC0F5A" w:rsidRPr="00797D57">
        <w:rPr>
          <w:rFonts w:ascii="Arial" w:hAnsi="Arial" w:cs="Arial"/>
          <w:b/>
          <w:sz w:val="22"/>
          <w:szCs w:val="22"/>
        </w:rPr>
        <w:t>.</w:t>
      </w:r>
      <w:r w:rsidRPr="00797D57">
        <w:rPr>
          <w:rFonts w:ascii="Arial" w:hAnsi="Arial" w:cs="Arial"/>
          <w:b/>
          <w:sz w:val="22"/>
          <w:szCs w:val="22"/>
        </w:rPr>
        <w:t xml:space="preserve"> 20</w:t>
      </w:r>
      <w:r w:rsidR="006A4B08">
        <w:rPr>
          <w:rFonts w:ascii="Arial" w:hAnsi="Arial" w:cs="Arial"/>
          <w:b/>
          <w:sz w:val="22"/>
          <w:szCs w:val="22"/>
        </w:rPr>
        <w:t>21</w:t>
      </w:r>
      <w:r w:rsidRPr="00797D57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5C98ACC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FDE60D7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413602CE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5016657D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06403F49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C882F2" w14:textId="77777777"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14:paraId="4C547D4B" w14:textId="77777777"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14:paraId="605777FE" w14:textId="77777777"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14:paraId="16A32BA2" w14:textId="77777777" w:rsidR="00C80A97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0CCDAFF6" w14:textId="77777777" w:rsidR="00023239" w:rsidRDefault="00023239" w:rsidP="00023239">
      <w:pPr>
        <w:pStyle w:val="Nadpis1"/>
        <w:rPr>
          <w:sz w:val="22"/>
          <w:szCs w:val="22"/>
        </w:rPr>
      </w:pPr>
      <w:r w:rsidRPr="00023239">
        <w:t>Další podmínky zadávacího řízení a práva zadavatelů</w:t>
      </w:r>
    </w:p>
    <w:p w14:paraId="49E41621" w14:textId="77777777" w:rsidR="000D6704" w:rsidRPr="008C630A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4E31DECF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6A3D7779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039CAC14" w14:textId="77777777"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lastRenderedPageBreak/>
        <w:t>Další ustanovení</w:t>
      </w:r>
      <w:bookmarkEnd w:id="24"/>
      <w:bookmarkEnd w:id="25"/>
    </w:p>
    <w:p w14:paraId="2C822933" w14:textId="034C722E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14:paraId="18734A45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19F4EA26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3C7664E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73ACA882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41C96BD4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73A6D5E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14:paraId="4782A8AF" w14:textId="77777777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tvoří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7D65A8">
        <w:rPr>
          <w:rFonts w:ascii="Arial" w:hAnsi="Arial" w:cs="Arial"/>
          <w:spacing w:val="-4"/>
          <w:sz w:val="22"/>
          <w:szCs w:val="22"/>
        </w:rPr>
        <w:t>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8E0CE0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3690DC45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14:paraId="6E5F164F" w14:textId="77777777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14:paraId="50E7CD55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67BD20CD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5DA03A07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6DF0B69" w14:textId="01383F8F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65EB0C24" w14:textId="77777777" w:rsidR="00E8728C" w:rsidRPr="008A4F6F" w:rsidRDefault="00E8728C" w:rsidP="004F2540">
      <w:pPr>
        <w:rPr>
          <w:rFonts w:ascii="Arial" w:hAnsi="Arial" w:cs="Arial"/>
          <w:sz w:val="22"/>
          <w:szCs w:val="22"/>
        </w:rPr>
      </w:pPr>
    </w:p>
    <w:p w14:paraId="15C5B86D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5D40FC0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1123905" w14:textId="77777777"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5322346E" w14:textId="77777777"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36248A">
      <w:headerReference w:type="default" r:id="rId10"/>
      <w:footerReference w:type="default" r:id="rId11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4465B" w14:textId="77777777" w:rsidR="002A4B1C" w:rsidRDefault="002A4B1C">
      <w:r>
        <w:separator/>
      </w:r>
    </w:p>
  </w:endnote>
  <w:endnote w:type="continuationSeparator" w:id="0">
    <w:p w14:paraId="28017D0F" w14:textId="77777777" w:rsidR="002A4B1C" w:rsidRDefault="002A4B1C">
      <w:r>
        <w:continuationSeparator/>
      </w:r>
    </w:p>
  </w:endnote>
  <w:endnote w:type="continuationNotice" w:id="1">
    <w:p w14:paraId="70AA5A7A" w14:textId="77777777" w:rsidR="002A4B1C" w:rsidRDefault="002A4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7AF43" w14:textId="41C58AA3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A6EF5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A6EF5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313D7" w14:textId="77777777" w:rsidR="002A4B1C" w:rsidRDefault="002A4B1C">
      <w:r>
        <w:separator/>
      </w:r>
    </w:p>
  </w:footnote>
  <w:footnote w:type="continuationSeparator" w:id="0">
    <w:p w14:paraId="7CAB212B" w14:textId="77777777" w:rsidR="002A4B1C" w:rsidRDefault="002A4B1C">
      <w:r>
        <w:continuationSeparator/>
      </w:r>
    </w:p>
  </w:footnote>
  <w:footnote w:type="continuationNotice" w:id="1">
    <w:p w14:paraId="2AE4FB9C" w14:textId="77777777" w:rsidR="002A4B1C" w:rsidRDefault="002A4B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E670" w14:textId="77777777" w:rsidR="0067017B" w:rsidRDefault="0067017B">
    <w:pPr>
      <w:pStyle w:val="Zhlav"/>
    </w:pPr>
  </w:p>
  <w:p w14:paraId="44225E15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0"/>
  </w:num>
  <w:num w:numId="4">
    <w:abstractNumId w:val="15"/>
  </w:num>
  <w:num w:numId="5">
    <w:abstractNumId w:val="5"/>
  </w:num>
  <w:num w:numId="6">
    <w:abstractNumId w:val="13"/>
  </w:num>
  <w:num w:numId="7">
    <w:abstractNumId w:val="0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16"/>
  </w:num>
  <w:num w:numId="13">
    <w:abstractNumId w:val="10"/>
  </w:num>
  <w:num w:numId="14">
    <w:abstractNumId w:val="18"/>
  </w:num>
  <w:num w:numId="15">
    <w:abstractNumId w:val="14"/>
  </w:num>
  <w:num w:numId="16">
    <w:abstractNumId w:val="12"/>
  </w:num>
  <w:num w:numId="17">
    <w:abstractNumId w:val="9"/>
  </w:num>
  <w:num w:numId="18">
    <w:abstractNumId w:val="3"/>
  </w:num>
  <w:num w:numId="19">
    <w:abstractNumId w:val="4"/>
  </w:num>
  <w:num w:numId="2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A6EF5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212"/>
    <w:rsid w:val="001B733C"/>
    <w:rsid w:val="001B7BD4"/>
    <w:rsid w:val="001B7DA4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191C"/>
    <w:rsid w:val="001E3FEB"/>
    <w:rsid w:val="001E404B"/>
    <w:rsid w:val="001E5AE5"/>
    <w:rsid w:val="001F215C"/>
    <w:rsid w:val="001F32A5"/>
    <w:rsid w:val="001F3C04"/>
    <w:rsid w:val="001F6357"/>
    <w:rsid w:val="00200254"/>
    <w:rsid w:val="00200850"/>
    <w:rsid w:val="0020227A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8AA"/>
    <w:rsid w:val="002E2684"/>
    <w:rsid w:val="002E308A"/>
    <w:rsid w:val="002E53A7"/>
    <w:rsid w:val="002E6604"/>
    <w:rsid w:val="002F0B3C"/>
    <w:rsid w:val="002F1264"/>
    <w:rsid w:val="002F2D37"/>
    <w:rsid w:val="002F3830"/>
    <w:rsid w:val="002F392E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584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DFD"/>
    <w:rsid w:val="00372A25"/>
    <w:rsid w:val="003736EA"/>
    <w:rsid w:val="00374B1F"/>
    <w:rsid w:val="00375F38"/>
    <w:rsid w:val="00376038"/>
    <w:rsid w:val="00376327"/>
    <w:rsid w:val="003779D7"/>
    <w:rsid w:val="00377DD8"/>
    <w:rsid w:val="00380EE3"/>
    <w:rsid w:val="003816CB"/>
    <w:rsid w:val="0038301D"/>
    <w:rsid w:val="0038319F"/>
    <w:rsid w:val="00383CA4"/>
    <w:rsid w:val="00384FBD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D66"/>
    <w:rsid w:val="00423D92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1AB2"/>
    <w:rsid w:val="004920BB"/>
    <w:rsid w:val="00492CDB"/>
    <w:rsid w:val="00492D67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FC7"/>
    <w:rsid w:val="004A6E5C"/>
    <w:rsid w:val="004B05BE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7365"/>
    <w:rsid w:val="004D0433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ED"/>
    <w:rsid w:val="0052127B"/>
    <w:rsid w:val="00523AB8"/>
    <w:rsid w:val="00524193"/>
    <w:rsid w:val="0052540F"/>
    <w:rsid w:val="00526109"/>
    <w:rsid w:val="005303FA"/>
    <w:rsid w:val="00530665"/>
    <w:rsid w:val="00531044"/>
    <w:rsid w:val="005323C2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80F"/>
    <w:rsid w:val="00596F1D"/>
    <w:rsid w:val="005A0E4D"/>
    <w:rsid w:val="005A283E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EFA"/>
    <w:rsid w:val="006C0CB2"/>
    <w:rsid w:val="006C1F24"/>
    <w:rsid w:val="006C2AB4"/>
    <w:rsid w:val="006C3299"/>
    <w:rsid w:val="006C4F77"/>
    <w:rsid w:val="006C5EAF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435"/>
    <w:rsid w:val="00770690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DD4"/>
    <w:rsid w:val="00852C44"/>
    <w:rsid w:val="0085387B"/>
    <w:rsid w:val="00853E33"/>
    <w:rsid w:val="00854107"/>
    <w:rsid w:val="008542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66A3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52A0"/>
    <w:rsid w:val="00965AC5"/>
    <w:rsid w:val="009663A6"/>
    <w:rsid w:val="009706F5"/>
    <w:rsid w:val="0097299A"/>
    <w:rsid w:val="0097344D"/>
    <w:rsid w:val="009739D5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2AA3"/>
    <w:rsid w:val="009D33A9"/>
    <w:rsid w:val="009D3C88"/>
    <w:rsid w:val="009D3F3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9AA"/>
    <w:rsid w:val="00A00082"/>
    <w:rsid w:val="00A00300"/>
    <w:rsid w:val="00A0394A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4FB3"/>
    <w:rsid w:val="00A66D9D"/>
    <w:rsid w:val="00A66DD7"/>
    <w:rsid w:val="00A73B8F"/>
    <w:rsid w:val="00A747E8"/>
    <w:rsid w:val="00A75C63"/>
    <w:rsid w:val="00A75E4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D2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DFB"/>
    <w:rsid w:val="00C1508A"/>
    <w:rsid w:val="00C1519F"/>
    <w:rsid w:val="00C15C43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61D"/>
    <w:rsid w:val="00D2078B"/>
    <w:rsid w:val="00D20B82"/>
    <w:rsid w:val="00D243CC"/>
    <w:rsid w:val="00D24925"/>
    <w:rsid w:val="00D24AE4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58D"/>
    <w:rsid w:val="00E13466"/>
    <w:rsid w:val="00E139A8"/>
    <w:rsid w:val="00E13DA4"/>
    <w:rsid w:val="00E15168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28C"/>
    <w:rsid w:val="00E877DE"/>
    <w:rsid w:val="00E8792E"/>
    <w:rsid w:val="00E87A54"/>
    <w:rsid w:val="00E9000D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7A8B"/>
    <w:rsid w:val="00F02C4E"/>
    <w:rsid w:val="00F03FC1"/>
    <w:rsid w:val="00F04034"/>
    <w:rsid w:val="00F053A1"/>
    <w:rsid w:val="00F05B9F"/>
    <w:rsid w:val="00F07A52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735A"/>
    <w:rsid w:val="00F31106"/>
    <w:rsid w:val="00F312F0"/>
    <w:rsid w:val="00F31C45"/>
    <w:rsid w:val="00F340D4"/>
    <w:rsid w:val="00F343F7"/>
    <w:rsid w:val="00F35A3D"/>
    <w:rsid w:val="00F3690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4C73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B57B7"/>
    <w:rsid w:val="00FC012F"/>
    <w:rsid w:val="00FC0997"/>
    <w:rsid w:val="00FC1DFB"/>
    <w:rsid w:val="00FC30D8"/>
    <w:rsid w:val="00FC3712"/>
    <w:rsid w:val="00FC4235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5077665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1CBC-1193-4DA9-B360-F7D000F9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11</Pages>
  <Words>4028</Words>
  <Characters>24344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28316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Navrátilová Markéta Ing.</cp:lastModifiedBy>
  <cp:revision>34</cp:revision>
  <cp:lastPrinted>2021-08-05T07:28:00Z</cp:lastPrinted>
  <dcterms:created xsi:type="dcterms:W3CDTF">2021-06-18T09:25:00Z</dcterms:created>
  <dcterms:modified xsi:type="dcterms:W3CDTF">2021-08-31T09:17:00Z</dcterms:modified>
</cp:coreProperties>
</file>